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3F35F2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Nowa Wieś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3F35F2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Nowa Wieś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3F35F2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2019-04-03T06:43:00Z</dcterms:modified>
</cp:coreProperties>
</file>